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70" w:rsidRDefault="00347970" w:rsidP="00DD2C58">
      <w:pPr>
        <w:jc w:val="both"/>
        <w:rPr>
          <w:b/>
          <w:sz w:val="28"/>
          <w:szCs w:val="28"/>
        </w:rPr>
      </w:pPr>
    </w:p>
    <w:p w:rsidR="00347970" w:rsidRDefault="00347970" w:rsidP="00DD2C58">
      <w:pPr>
        <w:jc w:val="both"/>
        <w:rPr>
          <w:sz w:val="24"/>
          <w:szCs w:val="24"/>
        </w:rPr>
      </w:pPr>
    </w:p>
    <w:p w:rsidR="00820857" w:rsidRDefault="00820857" w:rsidP="00820857">
      <w:pPr>
        <w:jc w:val="center"/>
        <w:rPr>
          <w:b/>
          <w:sz w:val="28"/>
          <w:szCs w:val="28"/>
        </w:rPr>
      </w:pPr>
      <w:r>
        <w:rPr>
          <w:b/>
          <w:sz w:val="28"/>
          <w:szCs w:val="28"/>
        </w:rPr>
        <w:t xml:space="preserve">Guvernul promite că anunță, în trei săptămâni, majorările salariale din educație </w:t>
      </w:r>
    </w:p>
    <w:p w:rsidR="00820857" w:rsidRDefault="00820857" w:rsidP="00820857">
      <w:pPr>
        <w:jc w:val="center"/>
        <w:rPr>
          <w:sz w:val="24"/>
          <w:szCs w:val="24"/>
        </w:rPr>
      </w:pPr>
    </w:p>
    <w:p w:rsidR="00820857" w:rsidRDefault="00820857" w:rsidP="00820857">
      <w:pPr>
        <w:jc w:val="both"/>
        <w:rPr>
          <w:sz w:val="24"/>
          <w:szCs w:val="24"/>
          <w:lang w:val="ro-RO"/>
        </w:rPr>
      </w:pPr>
      <w:r>
        <w:rPr>
          <w:sz w:val="24"/>
          <w:szCs w:val="24"/>
        </w:rPr>
        <w:t xml:space="preserve">Liderii Federației Sindicatelor Libere din Învățământ (F.S.L.I.) au decis, joi, după întâlnirea cu patru miniștri ai Guvernului – Sorin </w:t>
      </w:r>
      <w:r>
        <w:rPr>
          <w:sz w:val="24"/>
          <w:szCs w:val="24"/>
          <w:lang w:val="ro-RO"/>
        </w:rPr>
        <w:t>Cîmpeanu, Rovana Plumb, Eugen Teodorovici și Liviu Pop – să acorde Guvernului un răgaz, până în data de 10 octombrie, când se va ști exact situația execuției bugetare pe primele nouă luni ale anului 2015, pentru ca Executivul să ia o deizie în ceea ce privește procentul  de majorare salarială în acest an.</w:t>
      </w:r>
    </w:p>
    <w:p w:rsidR="00820857" w:rsidRDefault="00820857" w:rsidP="00820857">
      <w:pPr>
        <w:jc w:val="both"/>
        <w:rPr>
          <w:sz w:val="24"/>
          <w:szCs w:val="24"/>
          <w:lang w:val="ro-RO"/>
        </w:rPr>
      </w:pPr>
      <w:r>
        <w:rPr>
          <w:sz w:val="24"/>
          <w:szCs w:val="24"/>
          <w:lang w:val="ro-RO"/>
        </w:rPr>
        <w:t xml:space="preserve"> </w:t>
      </w:r>
    </w:p>
    <w:p w:rsidR="00820857" w:rsidRDefault="00820857" w:rsidP="00820857">
      <w:pPr>
        <w:jc w:val="both"/>
        <w:rPr>
          <w:sz w:val="24"/>
          <w:szCs w:val="24"/>
          <w:lang w:val="ro-RO"/>
        </w:rPr>
      </w:pPr>
      <w:r>
        <w:rPr>
          <w:sz w:val="24"/>
          <w:szCs w:val="24"/>
          <w:lang w:val="ro-RO"/>
        </w:rPr>
        <w:t>”Am solicitat reprezentanților din sectorul educațional să ne păsuiască până pe data de 10 octombrie pentru a avea toate datele din punct de vedere fiscal-bugetar ale încheierii exercițiului pe nouă luni de zile. După ce vom avea tabloul datelor bugetare, vom putea vorbi de majorări clare ale salariilor”, a precizat ministrul Muncii, Rovana Plumb, la finalul întâlnirii.</w:t>
      </w:r>
    </w:p>
    <w:p w:rsidR="00820857" w:rsidRDefault="00820857" w:rsidP="00820857">
      <w:pPr>
        <w:jc w:val="both"/>
        <w:rPr>
          <w:sz w:val="24"/>
          <w:szCs w:val="24"/>
          <w:lang w:val="ro-RO"/>
        </w:rPr>
      </w:pPr>
    </w:p>
    <w:p w:rsidR="00820857" w:rsidRDefault="00820857" w:rsidP="00820857">
      <w:pPr>
        <w:jc w:val="both"/>
        <w:rPr>
          <w:sz w:val="24"/>
          <w:szCs w:val="24"/>
          <w:lang w:val="ro-RO"/>
        </w:rPr>
      </w:pPr>
      <w:r>
        <w:rPr>
          <w:sz w:val="24"/>
          <w:szCs w:val="24"/>
          <w:lang w:val="ro-RO"/>
        </w:rPr>
        <w:t>Reprezentanții celor trei federații sindicale prezente, joi, la întâlnire, au fost de acord să aștepte  încă trei săptămâni pentru a afla care va fi procentul de creștere a salariilor, în luna noiembrie sau în luna decembrie.</w:t>
      </w:r>
    </w:p>
    <w:p w:rsidR="00820857" w:rsidRDefault="00820857" w:rsidP="00820857">
      <w:pPr>
        <w:jc w:val="both"/>
        <w:rPr>
          <w:sz w:val="24"/>
          <w:szCs w:val="24"/>
          <w:lang w:val="ro-RO"/>
        </w:rPr>
      </w:pPr>
    </w:p>
    <w:p w:rsidR="00820857" w:rsidRDefault="00820857" w:rsidP="00820857">
      <w:pPr>
        <w:jc w:val="both"/>
        <w:rPr>
          <w:sz w:val="24"/>
          <w:szCs w:val="24"/>
          <w:lang w:val="ro-RO"/>
        </w:rPr>
      </w:pPr>
      <w:r>
        <w:rPr>
          <w:sz w:val="24"/>
          <w:szCs w:val="24"/>
          <w:lang w:val="ro-RO"/>
        </w:rPr>
        <w:t>”Am solictat Guvernului o creștere de 15 procente de la 1 noiembrie. Cei prezenți, liderii noștri de sindicat, au girat reprezentanții Executivului să își facă toate calculele, să se încheie execuția bugetară. Asta se va întâmpla în jurul datei de 10 octombrie, când vom ști exact cum stau lucrurile. Speranța noastră este că se va găsi soluția, astfel încât să se poată acorda această majorare de 15 procente începând cu 1 noiembrie. Dacă nu se va întâmpla acest lucru, ne vom întâlni din nou aici și vom decide. Cred că domnii miniștri au înțeles foarte bine mesajul de astăzi și am convingerea că se va găsi o soluție astfel încât să nu fie nevoie să ieșim în stradă”, a subliniat președintele F.S.L.I., Simion Hancescu.</w:t>
      </w:r>
    </w:p>
    <w:p w:rsidR="00820857" w:rsidRDefault="00820857" w:rsidP="00820857">
      <w:pPr>
        <w:jc w:val="both"/>
        <w:rPr>
          <w:sz w:val="24"/>
          <w:szCs w:val="24"/>
          <w:lang w:val="ro-RO"/>
        </w:rPr>
      </w:pPr>
    </w:p>
    <w:p w:rsidR="00820857" w:rsidRDefault="00820857" w:rsidP="00820857">
      <w:pPr>
        <w:jc w:val="both"/>
        <w:rPr>
          <w:sz w:val="24"/>
          <w:szCs w:val="24"/>
          <w:lang w:val="ro-RO"/>
        </w:rPr>
      </w:pPr>
      <w:r>
        <w:rPr>
          <w:sz w:val="24"/>
          <w:szCs w:val="24"/>
          <w:lang w:val="ro-RO"/>
        </w:rPr>
        <w:t>La rândul rău, ministrul de Finanțe, Eugen Teodorovici, a adăugat faptul că, în ceea ce privește Legea salarizării unice a bugetarilor, Guvernul speră să aibă o formă finală, săptămâna viitoare, pentru a ști exact care este impactul aplicării ei pe întreg sectorul bugetar. ”Acesta este primul pas – impactul asupra bugetului a aplicării Legii salarizării bugetarilor. De asemenea, am spus foarte clar că este nevoie să știm care este execuția primelor nouă luni ale acestui an, ca să putem afla, până la finalul anului, dacă se poate și cu cât aplica o majorare pentru educație”, a afirmat ministrul Eugen Teodorovici.</w:t>
      </w:r>
    </w:p>
    <w:p w:rsidR="00820857" w:rsidRDefault="00820857" w:rsidP="00820857">
      <w:pPr>
        <w:jc w:val="both"/>
        <w:rPr>
          <w:sz w:val="24"/>
          <w:szCs w:val="24"/>
        </w:rPr>
      </w:pPr>
    </w:p>
    <w:p w:rsidR="00820857" w:rsidRDefault="00820857" w:rsidP="00820857">
      <w:pPr>
        <w:jc w:val="both"/>
        <w:rPr>
          <w:sz w:val="24"/>
          <w:szCs w:val="24"/>
        </w:rPr>
      </w:pPr>
      <w:r>
        <w:rPr>
          <w:sz w:val="24"/>
          <w:szCs w:val="24"/>
        </w:rPr>
        <w:t>București – 17 septembrie 2015</w:t>
      </w:r>
    </w:p>
    <w:p w:rsidR="00820857" w:rsidRDefault="00820857" w:rsidP="00820857">
      <w:pPr>
        <w:tabs>
          <w:tab w:val="left" w:pos="5685"/>
        </w:tabs>
      </w:pPr>
    </w:p>
    <w:p w:rsidR="00820857" w:rsidRDefault="00820857" w:rsidP="00820857">
      <w:pPr>
        <w:tabs>
          <w:tab w:val="left" w:pos="5685"/>
        </w:tabs>
        <w:jc w:val="both"/>
        <w:rPr>
          <w:sz w:val="24"/>
          <w:szCs w:val="24"/>
        </w:rPr>
      </w:pPr>
      <w:r>
        <w:rPr>
          <w:sz w:val="24"/>
          <w:szCs w:val="24"/>
        </w:rPr>
        <w:t>Simion Hancescu – Președinte FSLI - 0722.779.716</w:t>
      </w:r>
    </w:p>
    <w:p w:rsidR="00820857" w:rsidRDefault="00820857" w:rsidP="00820857">
      <w:pPr>
        <w:tabs>
          <w:tab w:val="left" w:pos="5685"/>
        </w:tabs>
        <w:jc w:val="both"/>
        <w:rPr>
          <w:sz w:val="24"/>
          <w:szCs w:val="24"/>
        </w:rPr>
      </w:pPr>
      <w:r>
        <w:rPr>
          <w:sz w:val="24"/>
          <w:szCs w:val="24"/>
        </w:rPr>
        <w:t>Geanina Sandu    -  Departamentul Comunciare – 0722.779.716</w:t>
      </w: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770484" w:rsidRDefault="00770484"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Default="00C52A48" w:rsidP="004B27F8">
      <w:pPr>
        <w:tabs>
          <w:tab w:val="left" w:pos="5685"/>
        </w:tabs>
      </w:pPr>
    </w:p>
    <w:p w:rsidR="00C52A48" w:rsidRPr="004B27F8" w:rsidRDefault="00C52A48" w:rsidP="004B27F8">
      <w:pPr>
        <w:tabs>
          <w:tab w:val="left" w:pos="5685"/>
        </w:tabs>
      </w:pPr>
    </w:p>
    <w:sectPr w:rsidR="00C52A48" w:rsidRPr="004B27F8"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474" w:rsidRDefault="00625474" w:rsidP="007A2C35">
      <w:r>
        <w:separator/>
      </w:r>
    </w:p>
  </w:endnote>
  <w:endnote w:type="continuationSeparator" w:id="1">
    <w:p w:rsidR="00625474" w:rsidRDefault="00625474" w:rsidP="007A2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Ro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48" w:rsidRDefault="004B217A">
    <w:pPr>
      <w:pStyle w:val="Footer"/>
      <w:jc w:val="right"/>
    </w:pPr>
    <w:r w:rsidRPr="004B217A">
      <w:rPr>
        <w:noProof/>
        <w:color w:val="C00000"/>
        <w:lang w:val="en-US" w:eastAsia="en-US"/>
      </w:rPr>
      <w:pict>
        <v:shapetype id="_x0000_t32" coordsize="21600,21600" o:spt="32" o:oned="t" path="m,l21600,21600e" filled="f">
          <v:path arrowok="t" fillok="f" o:connecttype="none"/>
          <o:lock v:ext="edit" shapetype="t"/>
        </v:shapetype>
        <v:shape id="_x0000_s2059" type="#_x0000_t32" style="position:absolute;left:0;text-align:left;margin-left:-11.1pt;margin-top:-5.15pt;width:492pt;height:0;z-index:251661312" o:connectortype="straight"/>
      </w:pict>
    </w:r>
    <w:r w:rsidR="00C52A48">
      <w:t xml:space="preserve">FSLI | </w:t>
    </w:r>
    <w:fldSimple w:instr=" PAGE   \* MERGEFORMAT ">
      <w:r w:rsidR="00820857">
        <w:rPr>
          <w:noProof/>
        </w:rPr>
        <w:t>3</w:t>
      </w:r>
    </w:fldSimple>
    <w:r w:rsidR="00C52A48">
      <w:t xml:space="preserve"> </w:t>
    </w:r>
  </w:p>
  <w:p w:rsidR="008222B5" w:rsidRPr="008222B5" w:rsidRDefault="008222B5" w:rsidP="004F3082">
    <w:pPr>
      <w:pStyle w:val="Footer"/>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586C69" w:rsidRDefault="004B217A" w:rsidP="00770484">
    <w:pPr>
      <w:pStyle w:val="Footer"/>
      <w:tabs>
        <w:tab w:val="clear" w:pos="4680"/>
        <w:tab w:val="center" w:pos="0"/>
      </w:tabs>
      <w:jc w:val="right"/>
      <w:rPr>
        <w:sz w:val="10"/>
      </w:rPr>
    </w:pPr>
    <w:r>
      <w:rPr>
        <w:noProof/>
        <w:sz w:val="10"/>
        <w:lang w:val="en-US" w:eastAsia="en-US"/>
      </w:rPr>
      <w:pict>
        <v:shapetype id="_x0000_t32" coordsize="21600,21600" o:spt="32" o:oned="t" path="m,l21600,21600e" filled="f">
          <v:path arrowok="t" fillok="f" o:connecttype="none"/>
          <o:lock v:ext="edit" shapetype="t"/>
        </v:shapetype>
        <v:shape id="_x0000_s2058" type="#_x0000_t32" style="position:absolute;left:0;text-align:left;margin-left:-5.45pt;margin-top:.3pt;width:492pt;height:0;z-index:251660288" o:connectortype="straight"/>
      </w:pict>
    </w:r>
  </w:p>
  <w:tbl>
    <w:tblPr>
      <w:tblW w:w="9861" w:type="dxa"/>
      <w:tblLook w:val="04A0"/>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val="en-US" w:eastAsia="en-US"/>
            </w:rPr>
            <w:drawing>
              <wp:inline distT="0" distB="0" distL="0" distR="0">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val="en-US" w:eastAsia="en-US"/>
            </w:rPr>
            <w:drawing>
              <wp:inline distT="0" distB="0" distL="0" distR="0">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 Educaţiei</w:t>
          </w:r>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val="en-US" w:eastAsia="en-US"/>
            </w:rPr>
            <w:drawing>
              <wp:inline distT="0" distB="0" distL="0" distR="0">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474" w:rsidRDefault="00625474" w:rsidP="007A2C35">
      <w:r>
        <w:separator/>
      </w:r>
    </w:p>
  </w:footnote>
  <w:footnote w:type="continuationSeparator" w:id="1">
    <w:p w:rsidR="00625474" w:rsidRDefault="00625474" w:rsidP="007A2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5" w:rsidRPr="00647F3B" w:rsidRDefault="004B217A" w:rsidP="00F9523A">
    <w:pPr>
      <w:pStyle w:val="Title"/>
      <w:ind w:left="1080"/>
      <w:rPr>
        <w:rFonts w:ascii="Calibri" w:hAnsi="Calibri" w:cs="Calibri"/>
        <w:sz w:val="28"/>
        <w:szCs w:val="28"/>
        <w:lang w:val="fr-FR"/>
      </w:rPr>
    </w:pPr>
    <w:r>
      <w:rPr>
        <w:rFonts w:ascii="Calibri" w:hAnsi="Calibri" w:cs="Calibri"/>
        <w:noProof/>
        <w:sz w:val="28"/>
        <w:szCs w:val="28"/>
        <w:lang w:val="en-US" w:eastAsia="en-US"/>
      </w:rPr>
      <w:pict>
        <v:shapetype id="_x0000_t202" coordsize="21600,21600" o:spt="202" path="m,l,21600r21600,l21600,xe">
          <v:stroke joinstyle="miter"/>
          <v:path gradientshapeok="t" o:connecttype="rect"/>
        </v:shapetype>
        <v:shape id="_x0000_s2063" type="#_x0000_t202" style="position:absolute;left:0;text-align:left;margin-left:3.15pt;margin-top:-9pt;width:61pt;height:53.65pt;z-index:251664384;mso-wrap-style:none" stroked="f">
          <v:textbox style="mso-fit-shape-to-text:t">
            <w:txbxContent>
              <w:p w:rsidR="00647F3B" w:rsidRDefault="00836BCF" w:rsidP="00647F3B">
                <w:r>
                  <w:rPr>
                    <w:rFonts w:ascii="Calibri" w:hAnsi="Calibri" w:cs="Calibri"/>
                    <w:noProof/>
                    <w:color w:val="002060"/>
                    <w:sz w:val="28"/>
                    <w:szCs w:val="28"/>
                    <w:lang w:val="en-US" w:eastAsia="en-US"/>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8222B5" w:rsidRPr="00817A3F" w:rsidRDefault="008222B5" w:rsidP="00E67ABB">
    <w:pPr>
      <w:ind w:left="2160"/>
      <w:jc w:val="center"/>
      <w:rPr>
        <w:rFonts w:ascii="Calibri" w:hAnsi="Calibri" w:cs="Calibri"/>
        <w:b/>
        <w:sz w:val="10"/>
        <w:szCs w:val="16"/>
      </w:rPr>
    </w:pPr>
  </w:p>
  <w:p w:rsidR="007A2C35" w:rsidRDefault="004B217A">
    <w:pPr>
      <w:pStyle w:val="Header"/>
    </w:pPr>
    <w:r w:rsidRPr="004B217A">
      <w:rPr>
        <w:noProof/>
        <w:color w:val="C00000"/>
        <w:lang w:val="en-US" w:eastAsia="en-US"/>
      </w:rPr>
      <w:pict>
        <v:shapetype id="_x0000_t32" coordsize="21600,21600" o:spt="32" o:oned="t" path="m,l21600,21600e" filled="f">
          <v:path arrowok="t" fillok="f" o:connecttype="none"/>
          <o:lock v:ext="edit" shapetype="t"/>
        </v:shapetype>
        <v:shape id="_x0000_s2053" type="#_x0000_t32" style="position:absolute;margin-left:-.6pt;margin-top:4.85pt;width:492pt;height:0;z-index:251657216"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647F3B" w:rsidRDefault="004B217A" w:rsidP="00770484">
    <w:pPr>
      <w:pStyle w:val="Title"/>
      <w:ind w:left="2160"/>
      <w:rPr>
        <w:rFonts w:ascii="Calibri" w:hAnsi="Calibri" w:cs="Calibri"/>
        <w:sz w:val="28"/>
        <w:szCs w:val="28"/>
        <w:lang w:val="fr-FR"/>
      </w:rPr>
    </w:pPr>
    <w:r>
      <w:rPr>
        <w:rFonts w:ascii="Calibri" w:hAnsi="Calibri" w:cs="Calibri"/>
        <w:noProof/>
        <w:sz w:val="28"/>
        <w:szCs w:val="28"/>
        <w:lang w:val="en-US" w:eastAsia="en-US"/>
      </w:rPr>
      <w:pict>
        <v:shapetype id="_x0000_t202" coordsize="21600,21600" o:spt="202" path="m,l,21600r21600,l21600,xe">
          <v:stroke joinstyle="miter"/>
          <v:path gradientshapeok="t" o:connecttype="rect"/>
        </v:shapetype>
        <v:shape id="_x0000_s2062" type="#_x0000_t202" style="position:absolute;left:0;text-align:left;margin-left:3.9pt;margin-top:-4.5pt;width:124.5pt;height:118.2pt;z-index:251662336" stroked="f">
          <v:textbox>
            <w:txbxContent>
              <w:p w:rsidR="00371304" w:rsidRDefault="00836BCF">
                <w:r>
                  <w:rPr>
                    <w:rFonts w:ascii="Calibri" w:hAnsi="Calibri" w:cs="Calibri"/>
                    <w:noProof/>
                    <w:color w:val="002060"/>
                    <w:sz w:val="28"/>
                    <w:szCs w:val="28"/>
                    <w:lang w:val="en-US" w:eastAsia="en-US"/>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2" w:history="1">
      <w:r w:rsidRPr="00647F3B">
        <w:rPr>
          <w:rStyle w:val="Hyperlink"/>
          <w:rFonts w:ascii="Calibri" w:hAnsi="Calibri" w:cs="Calibri"/>
          <w:b/>
          <w:color w:val="auto"/>
          <w:sz w:val="24"/>
          <w:szCs w:val="24"/>
          <w:u w:val="none"/>
        </w:rPr>
        <w:t>fsli@fsli.ro</w:t>
      </w:r>
    </w:hyperlink>
  </w:p>
  <w:p w:rsidR="00770484" w:rsidRDefault="004B217A" w:rsidP="00770484">
    <w:pPr>
      <w:pStyle w:val="Header"/>
    </w:pPr>
    <w:r w:rsidRPr="004B217A">
      <w:rPr>
        <w:noProof/>
        <w:color w:val="C00000"/>
        <w:lang w:val="en-US" w:eastAsia="en-US"/>
      </w:rPr>
      <w:pict>
        <v:shapetype id="_x0000_t32" coordsize="21600,21600" o:spt="32" o:oned="t" path="m,l21600,21600e" filled="f">
          <v:path arrowok="t" fillok="f" o:connecttype="none"/>
          <o:lock v:ext="edit" shapetype="t"/>
        </v:shapetype>
        <v:shape id="_x0000_s2056" type="#_x0000_t32" style="position:absolute;margin-left:-.6pt;margin-top:4.85pt;width:492pt;height:0;z-index:25166336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986"/>
    <w:multiLevelType w:val="hybridMultilevel"/>
    <w:tmpl w:val="B1F0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B1880"/>
    <w:multiLevelType w:val="hybridMultilevel"/>
    <w:tmpl w:val="3668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E6289"/>
    <w:multiLevelType w:val="hybridMultilevel"/>
    <w:tmpl w:val="CF407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B0477A"/>
    <w:multiLevelType w:val="hybridMultilevel"/>
    <w:tmpl w:val="B2E4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173D7"/>
    <w:multiLevelType w:val="hybridMultilevel"/>
    <w:tmpl w:val="27C6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B97561"/>
    <w:multiLevelType w:val="hybridMultilevel"/>
    <w:tmpl w:val="55D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characterSpacingControl w:val="doNotCompress"/>
  <w:hdrShapeDefaults>
    <o:shapedefaults v:ext="edit" spidmax="37890"/>
    <o:shapelayout v:ext="edit">
      <o:idmap v:ext="edit" data="2"/>
      <o:rules v:ext="edit">
        <o:r id="V:Rule5" type="connector" idref="#_x0000_s2058"/>
        <o:r id="V:Rule6" type="connector" idref="#_x0000_s2059"/>
        <o:r id="V:Rule7" type="connector" idref="#_x0000_s2053"/>
        <o:r id="V:Rule8" type="connector" idref="#_x0000_s2056"/>
      </o:rules>
    </o:shapelayout>
  </w:hdrShapeDefaults>
  <w:footnotePr>
    <w:footnote w:id="0"/>
    <w:footnote w:id="1"/>
  </w:footnotePr>
  <w:endnotePr>
    <w:endnote w:id="0"/>
    <w:endnote w:id="1"/>
  </w:endnotePr>
  <w:compat/>
  <w:rsids>
    <w:rsidRoot w:val="00982899"/>
    <w:rsid w:val="00000890"/>
    <w:rsid w:val="000275B0"/>
    <w:rsid w:val="00050579"/>
    <w:rsid w:val="000562EE"/>
    <w:rsid w:val="0007026C"/>
    <w:rsid w:val="000C4011"/>
    <w:rsid w:val="000D2086"/>
    <w:rsid w:val="000D33C1"/>
    <w:rsid w:val="00101EF0"/>
    <w:rsid w:val="00132FDC"/>
    <w:rsid w:val="001669C9"/>
    <w:rsid w:val="00170E83"/>
    <w:rsid w:val="0017200B"/>
    <w:rsid w:val="001C7C05"/>
    <w:rsid w:val="001D4D5B"/>
    <w:rsid w:val="001F4A5F"/>
    <w:rsid w:val="00254A9E"/>
    <w:rsid w:val="00260F6B"/>
    <w:rsid w:val="00274BA7"/>
    <w:rsid w:val="002910D9"/>
    <w:rsid w:val="002A6125"/>
    <w:rsid w:val="002B31EE"/>
    <w:rsid w:val="002B526E"/>
    <w:rsid w:val="002C789D"/>
    <w:rsid w:val="002E1432"/>
    <w:rsid w:val="0030621B"/>
    <w:rsid w:val="00307EAF"/>
    <w:rsid w:val="00324A6E"/>
    <w:rsid w:val="00335FAD"/>
    <w:rsid w:val="00347970"/>
    <w:rsid w:val="0036178E"/>
    <w:rsid w:val="00371304"/>
    <w:rsid w:val="00385AC4"/>
    <w:rsid w:val="003D3EDF"/>
    <w:rsid w:val="003D75CF"/>
    <w:rsid w:val="003F0B4A"/>
    <w:rsid w:val="0040277A"/>
    <w:rsid w:val="004832B8"/>
    <w:rsid w:val="00493643"/>
    <w:rsid w:val="004A49A2"/>
    <w:rsid w:val="004A549D"/>
    <w:rsid w:val="004A6E45"/>
    <w:rsid w:val="004B217A"/>
    <w:rsid w:val="004B27F8"/>
    <w:rsid w:val="004B448A"/>
    <w:rsid w:val="004B639B"/>
    <w:rsid w:val="004D1934"/>
    <w:rsid w:val="004F3082"/>
    <w:rsid w:val="00522983"/>
    <w:rsid w:val="00524833"/>
    <w:rsid w:val="00527B02"/>
    <w:rsid w:val="0053332B"/>
    <w:rsid w:val="0054605F"/>
    <w:rsid w:val="00563A53"/>
    <w:rsid w:val="00586114"/>
    <w:rsid w:val="00586C69"/>
    <w:rsid w:val="005A67D0"/>
    <w:rsid w:val="005B69A4"/>
    <w:rsid w:val="00612DE3"/>
    <w:rsid w:val="006150A6"/>
    <w:rsid w:val="00625474"/>
    <w:rsid w:val="00641690"/>
    <w:rsid w:val="00647F3B"/>
    <w:rsid w:val="00696AD9"/>
    <w:rsid w:val="006B20F0"/>
    <w:rsid w:val="006C0CEE"/>
    <w:rsid w:val="006D1C46"/>
    <w:rsid w:val="006E063F"/>
    <w:rsid w:val="007110BF"/>
    <w:rsid w:val="00737C84"/>
    <w:rsid w:val="00770484"/>
    <w:rsid w:val="00770D15"/>
    <w:rsid w:val="0078677D"/>
    <w:rsid w:val="007A2C35"/>
    <w:rsid w:val="007D7B8E"/>
    <w:rsid w:val="007E1A1D"/>
    <w:rsid w:val="007E7BF3"/>
    <w:rsid w:val="007F0CC8"/>
    <w:rsid w:val="00817A3F"/>
    <w:rsid w:val="00820857"/>
    <w:rsid w:val="008222B5"/>
    <w:rsid w:val="00832A56"/>
    <w:rsid w:val="0083643C"/>
    <w:rsid w:val="00836BCF"/>
    <w:rsid w:val="008571DA"/>
    <w:rsid w:val="00857AFD"/>
    <w:rsid w:val="0086454F"/>
    <w:rsid w:val="00872D53"/>
    <w:rsid w:val="008C462D"/>
    <w:rsid w:val="009065DF"/>
    <w:rsid w:val="00912FE5"/>
    <w:rsid w:val="00914089"/>
    <w:rsid w:val="00925FB4"/>
    <w:rsid w:val="009365FA"/>
    <w:rsid w:val="00982899"/>
    <w:rsid w:val="00996996"/>
    <w:rsid w:val="009A6D46"/>
    <w:rsid w:val="009E251C"/>
    <w:rsid w:val="00A24C7E"/>
    <w:rsid w:val="00A30ED5"/>
    <w:rsid w:val="00A75DD3"/>
    <w:rsid w:val="00A85C96"/>
    <w:rsid w:val="00A939AB"/>
    <w:rsid w:val="00AB2AF7"/>
    <w:rsid w:val="00AB4DA2"/>
    <w:rsid w:val="00AD14C0"/>
    <w:rsid w:val="00AD4A77"/>
    <w:rsid w:val="00AD6CA2"/>
    <w:rsid w:val="00AE5D91"/>
    <w:rsid w:val="00B06D71"/>
    <w:rsid w:val="00B160CE"/>
    <w:rsid w:val="00B2605E"/>
    <w:rsid w:val="00B74148"/>
    <w:rsid w:val="00B801AF"/>
    <w:rsid w:val="00BD1252"/>
    <w:rsid w:val="00C01554"/>
    <w:rsid w:val="00C52A48"/>
    <w:rsid w:val="00C76076"/>
    <w:rsid w:val="00C76E22"/>
    <w:rsid w:val="00C80574"/>
    <w:rsid w:val="00CB168A"/>
    <w:rsid w:val="00CD3CC5"/>
    <w:rsid w:val="00D14E84"/>
    <w:rsid w:val="00D60373"/>
    <w:rsid w:val="00D93C62"/>
    <w:rsid w:val="00DD2C58"/>
    <w:rsid w:val="00E17D38"/>
    <w:rsid w:val="00E4592C"/>
    <w:rsid w:val="00E67ABB"/>
    <w:rsid w:val="00E7225B"/>
    <w:rsid w:val="00E73474"/>
    <w:rsid w:val="00E83F41"/>
    <w:rsid w:val="00ED01D3"/>
    <w:rsid w:val="00ED5156"/>
    <w:rsid w:val="00ED6436"/>
    <w:rsid w:val="00EE0C88"/>
    <w:rsid w:val="00EE14F3"/>
    <w:rsid w:val="00EE193B"/>
    <w:rsid w:val="00F004F2"/>
    <w:rsid w:val="00F230D9"/>
    <w:rsid w:val="00F66108"/>
    <w:rsid w:val="00F801EA"/>
    <w:rsid w:val="00F9523A"/>
    <w:rsid w:val="00FC71A1"/>
    <w:rsid w:val="00FF2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s>
</file>

<file path=word/webSettings.xml><?xml version="1.0" encoding="utf-8"?>
<w:webSettings xmlns:r="http://schemas.openxmlformats.org/officeDocument/2006/relationships" xmlns:w="http://schemas.openxmlformats.org/wordprocessingml/2006/main">
  <w:divs>
    <w:div w:id="986128689">
      <w:bodyDiv w:val="1"/>
      <w:marLeft w:val="0"/>
      <w:marRight w:val="0"/>
      <w:marTop w:val="0"/>
      <w:marBottom w:val="0"/>
      <w:divBdr>
        <w:top w:val="none" w:sz="0" w:space="0" w:color="auto"/>
        <w:left w:val="none" w:sz="0" w:space="0" w:color="auto"/>
        <w:bottom w:val="none" w:sz="0" w:space="0" w:color="auto"/>
        <w:right w:val="none" w:sz="0" w:space="0" w:color="auto"/>
      </w:divBdr>
    </w:div>
    <w:div w:id="1123160754">
      <w:bodyDiv w:val="1"/>
      <w:marLeft w:val="0"/>
      <w:marRight w:val="0"/>
      <w:marTop w:val="0"/>
      <w:marBottom w:val="0"/>
      <w:divBdr>
        <w:top w:val="none" w:sz="0" w:space="0" w:color="auto"/>
        <w:left w:val="none" w:sz="0" w:space="0" w:color="auto"/>
        <w:bottom w:val="none" w:sz="0" w:space="0" w:color="auto"/>
        <w:right w:val="none" w:sz="0" w:space="0" w:color="auto"/>
      </w:divBdr>
    </w:div>
    <w:div w:id="1493714587">
      <w:bodyDiv w:val="1"/>
      <w:marLeft w:val="0"/>
      <w:marRight w:val="0"/>
      <w:marTop w:val="0"/>
      <w:marBottom w:val="0"/>
      <w:divBdr>
        <w:top w:val="none" w:sz="0" w:space="0" w:color="auto"/>
        <w:left w:val="none" w:sz="0" w:space="0" w:color="auto"/>
        <w:bottom w:val="none" w:sz="0" w:space="0" w:color="auto"/>
        <w:right w:val="none" w:sz="0" w:space="0" w:color="auto"/>
      </w:divBdr>
    </w:div>
    <w:div w:id="21032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anina\Desktop\ANTET%20FSLI%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9CB3-B633-4F51-BAA9-2140327E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Template>
  <TotalTime>192</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Geanina</dc:creator>
  <cp:lastModifiedBy>Geanina</cp:lastModifiedBy>
  <cp:revision>26</cp:revision>
  <cp:lastPrinted>2015-05-26T06:55:00Z</cp:lastPrinted>
  <dcterms:created xsi:type="dcterms:W3CDTF">2015-07-03T07:42:00Z</dcterms:created>
  <dcterms:modified xsi:type="dcterms:W3CDTF">2015-09-17T18:04:00Z</dcterms:modified>
</cp:coreProperties>
</file>